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0F2" w:rsidRDefault="000E50F2" w:rsidP="000E50F2">
      <w:pPr>
        <w:jc w:val="center"/>
        <w:rPr>
          <w:rFonts w:ascii="仿宋" w:eastAsia="仿宋" w:hAnsi="仿宋" w:hint="eastAsia"/>
          <w:sz w:val="36"/>
          <w:szCs w:val="36"/>
        </w:rPr>
      </w:pPr>
      <w:r w:rsidRPr="000E50F2">
        <w:rPr>
          <w:rFonts w:ascii="仿宋" w:eastAsia="仿宋" w:hAnsi="仿宋" w:hint="eastAsia"/>
          <w:sz w:val="36"/>
          <w:szCs w:val="36"/>
        </w:rPr>
        <w:t>关于组织申报2021年度哲学社会科学</w:t>
      </w:r>
    </w:p>
    <w:p w:rsidR="000E50F2" w:rsidRPr="000E50F2" w:rsidRDefault="000E50F2" w:rsidP="000E50F2">
      <w:pPr>
        <w:jc w:val="center"/>
        <w:rPr>
          <w:rFonts w:ascii="仿宋" w:eastAsia="仿宋" w:hAnsi="仿宋" w:hint="eastAsia"/>
          <w:sz w:val="36"/>
          <w:szCs w:val="36"/>
        </w:rPr>
      </w:pPr>
      <w:r w:rsidRPr="000E50F2">
        <w:rPr>
          <w:rFonts w:ascii="仿宋" w:eastAsia="仿宋" w:hAnsi="仿宋" w:hint="eastAsia"/>
          <w:sz w:val="36"/>
          <w:szCs w:val="36"/>
        </w:rPr>
        <w:t>研究专项的通知</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各盟市教育（教体）局、各高等学校：</w:t>
      </w:r>
    </w:p>
    <w:p w:rsidR="000E50F2" w:rsidRPr="000E50F2" w:rsidRDefault="000E50F2" w:rsidP="000E50F2">
      <w:pPr>
        <w:ind w:firstLineChars="200" w:firstLine="640"/>
        <w:rPr>
          <w:rFonts w:ascii="仿宋" w:eastAsia="仿宋" w:hAnsi="仿宋" w:hint="eastAsia"/>
          <w:sz w:val="32"/>
          <w:szCs w:val="32"/>
        </w:rPr>
      </w:pPr>
      <w:r w:rsidRPr="000E50F2">
        <w:rPr>
          <w:rFonts w:ascii="仿宋" w:eastAsia="仿宋" w:hAnsi="仿宋" w:hint="eastAsia"/>
          <w:sz w:val="32"/>
          <w:szCs w:val="32"/>
        </w:rPr>
        <w:t>为深入贯彻落实习近平新时代中国特色社会主义思想，贯彻落实党的十九大和十九届二中、三中、四中、五中全会精神，贯彻落实习近平总书记关于民族工作的重要论述和关于教育的重要论述，特别是在学校思想政治理论课教师座谈会上的重要讲话精神、关于哲学社会科学工作的重要论述，深入贯彻习近平总书记在党史学习教育动员大会上的讲话精神，大力提升广大教师队伍教书育人能力素质，推动新发展阶段教育教学高质量发展，不断增强课程的思想性、理论性和亲和力、针对性，更好发挥各级各类学校落实立德树人根本任务的关键课程作用，教育厅在哲学社会科学研究专项中设立了“党的建设、党史学习教育、铸牢中华民族共同体意识教育、大中小学思政课一体化建设、课程思政建设、体美劳教育、教育信息化技术研究”等7个专项。现将2021年度该项目申报工作的有关事项通知如下：</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一、申报类别及要求</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（一）申报类别</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1.党的建设研究专项</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2.党史学习教育研究专项</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3.铸牢中华民族共同体意识教育研究专项</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lastRenderedPageBreak/>
        <w:t>4.大中小学思政课一体化建设研究专项</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5.课程思政建设研究专项</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6.体美劳教育研究专项</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7.教育信息化技术研究专项</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以上专项设立了申报指南（详见附件3、4、5、6、7、8、9），申报指南属于方向性条目，只规定研究范围和方向。根据申报指南的指导思想和基本要求，鼓励申请者根据研究兴趣和学术积累，自行设计具体题目。题目名称的表述要科学、严谨、规范、简明，避免引起歧义或争议。</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（二）申报要求</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1.</w:t>
      </w:r>
      <w:r w:rsidRPr="000E50F2">
        <w:rPr>
          <w:rFonts w:ascii="仿宋" w:eastAsia="仿宋" w:hAnsi="仿宋" w:hint="eastAsia"/>
          <w:sz w:val="32"/>
          <w:szCs w:val="32"/>
        </w:rPr>
        <w:t>党的建设研究专项、党史学习教育研究专项以个人项目、团队两种形式进行申报。其他专项以个人项目、团队、平台三种形式进行申报。</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2.</w:t>
      </w:r>
      <w:r w:rsidRPr="000E50F2">
        <w:rPr>
          <w:rFonts w:ascii="仿宋" w:eastAsia="仿宋" w:hAnsi="仿宋" w:hint="eastAsia"/>
          <w:sz w:val="32"/>
          <w:szCs w:val="32"/>
        </w:rPr>
        <w:t>实行各盟市、各高校不限额申报，但总体计划拟设立个人项目</w:t>
      </w:r>
      <w:r w:rsidRPr="000E50F2">
        <w:rPr>
          <w:rFonts w:ascii="仿宋" w:eastAsia="仿宋" w:hAnsi="仿宋"/>
          <w:sz w:val="32"/>
          <w:szCs w:val="32"/>
        </w:rPr>
        <w:t>350</w:t>
      </w:r>
      <w:r w:rsidRPr="000E50F2">
        <w:rPr>
          <w:rFonts w:ascii="仿宋" w:eastAsia="仿宋" w:hAnsi="仿宋" w:hint="eastAsia"/>
          <w:sz w:val="32"/>
          <w:szCs w:val="32"/>
        </w:rPr>
        <w:t>项左右，团队</w:t>
      </w:r>
      <w:r w:rsidRPr="000E50F2">
        <w:rPr>
          <w:rFonts w:ascii="仿宋" w:eastAsia="仿宋" w:hAnsi="仿宋"/>
          <w:sz w:val="32"/>
          <w:szCs w:val="32"/>
        </w:rPr>
        <w:t>70</w:t>
      </w:r>
      <w:r w:rsidRPr="000E50F2">
        <w:rPr>
          <w:rFonts w:ascii="仿宋" w:eastAsia="仿宋" w:hAnsi="仿宋" w:hint="eastAsia"/>
          <w:sz w:val="32"/>
          <w:szCs w:val="32"/>
        </w:rPr>
        <w:t>个左右，平台</w:t>
      </w:r>
      <w:r w:rsidRPr="000E50F2">
        <w:rPr>
          <w:rFonts w:ascii="仿宋" w:eastAsia="仿宋" w:hAnsi="仿宋"/>
          <w:sz w:val="32"/>
          <w:szCs w:val="32"/>
        </w:rPr>
        <w:t>20</w:t>
      </w:r>
      <w:r w:rsidRPr="000E50F2">
        <w:rPr>
          <w:rFonts w:ascii="仿宋" w:eastAsia="仿宋" w:hAnsi="仿宋" w:hint="eastAsia"/>
          <w:sz w:val="32"/>
          <w:szCs w:val="32"/>
        </w:rPr>
        <w:t>个左右。每个申请者限报</w:t>
      </w:r>
      <w:r w:rsidRPr="000E50F2">
        <w:rPr>
          <w:rFonts w:ascii="仿宋" w:eastAsia="仿宋" w:hAnsi="仿宋"/>
          <w:sz w:val="32"/>
          <w:szCs w:val="32"/>
        </w:rPr>
        <w:t>1</w:t>
      </w:r>
      <w:r w:rsidRPr="000E50F2">
        <w:rPr>
          <w:rFonts w:ascii="仿宋" w:eastAsia="仿宋" w:hAnsi="仿宋" w:hint="eastAsia"/>
          <w:sz w:val="32"/>
          <w:szCs w:val="32"/>
        </w:rPr>
        <w:t>项，且不可交叉申报。</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3.</w:t>
      </w:r>
      <w:r w:rsidRPr="000E50F2">
        <w:rPr>
          <w:rFonts w:ascii="仿宋" w:eastAsia="仿宋" w:hAnsi="仿宋" w:hint="eastAsia"/>
          <w:sz w:val="32"/>
          <w:szCs w:val="32"/>
        </w:rPr>
        <w:t>个人项目研究周期为</w:t>
      </w:r>
      <w:r w:rsidRPr="000E50F2">
        <w:rPr>
          <w:rFonts w:ascii="仿宋" w:eastAsia="仿宋" w:hAnsi="仿宋"/>
          <w:sz w:val="32"/>
          <w:szCs w:val="32"/>
        </w:rPr>
        <w:t>1</w:t>
      </w:r>
      <w:r w:rsidRPr="000E50F2">
        <w:rPr>
          <w:rFonts w:ascii="仿宋" w:eastAsia="仿宋" w:hAnsi="仿宋" w:hint="eastAsia"/>
          <w:sz w:val="32"/>
          <w:szCs w:val="32"/>
        </w:rPr>
        <w:t>年，团队建设周期为</w:t>
      </w:r>
      <w:r w:rsidRPr="000E50F2">
        <w:rPr>
          <w:rFonts w:ascii="仿宋" w:eastAsia="仿宋" w:hAnsi="仿宋"/>
          <w:sz w:val="32"/>
          <w:szCs w:val="32"/>
        </w:rPr>
        <w:t>2-3</w:t>
      </w:r>
      <w:r w:rsidRPr="000E50F2">
        <w:rPr>
          <w:rFonts w:ascii="仿宋" w:eastAsia="仿宋" w:hAnsi="仿宋" w:hint="eastAsia"/>
          <w:sz w:val="32"/>
          <w:szCs w:val="32"/>
        </w:rPr>
        <w:t>年，平台建设周期为</w:t>
      </w:r>
      <w:r w:rsidRPr="000E50F2">
        <w:rPr>
          <w:rFonts w:ascii="仿宋" w:eastAsia="仿宋" w:hAnsi="仿宋"/>
          <w:sz w:val="32"/>
          <w:szCs w:val="32"/>
        </w:rPr>
        <w:t>3-4</w:t>
      </w:r>
      <w:r w:rsidRPr="000E50F2">
        <w:rPr>
          <w:rFonts w:ascii="仿宋" w:eastAsia="仿宋" w:hAnsi="仿宋" w:hint="eastAsia"/>
          <w:sz w:val="32"/>
          <w:szCs w:val="32"/>
        </w:rPr>
        <w:t>年。</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4.以上个人项目、团队、平台的申报、立项及验收请严格遵守《内蒙古自治区高等学校人文社会科学研究项目管理办法》《内蒙古自治区高等学校创新团队发展计划实施办法》《内蒙古自治区高等学校人文社会科学重点研究基地建设与管</w:t>
      </w:r>
      <w:r w:rsidRPr="000E50F2">
        <w:rPr>
          <w:rFonts w:ascii="仿宋" w:eastAsia="仿宋" w:hAnsi="仿宋" w:hint="eastAsia"/>
          <w:sz w:val="32"/>
          <w:szCs w:val="32"/>
        </w:rPr>
        <w:lastRenderedPageBreak/>
        <w:t>理办法》《内蒙古自治区中小学、中等职业学校科学技术研究项目管理办法（暂行）》相关规定。</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5.请学校党委对申请者的政治方向、价值取向、研究导向、科研诚信和师德师风等方面做出鉴定，并提出推荐意见。</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二、 申报条件</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1.项目申请者应具有优良的师德师风，良好的思想政治素质和较高的学术水平，科研诚信情况良好，身体健康，具有独立开展科研工作和较强的组织、协调能力，能作为项目实际主持者并担负实质性研究工作；学科视野开阔，对本学科发展有独到见解，在本领域内某方向有深入研究。项目申请者应为全区大中小学、中等职业学校在编或在岗人员。项目申请者不限职称和学历，鼓励一线教师积极申报项目。</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2.团队申请者（带头人）应具有较深的学术造诣、技术技能和创新性学术思想，具有较强的组织协调能力和合作精神，在团队中有较强的凝聚力，治学严谨，师德师风优良，科研诚信良好。一般应是本校在编在岗科研教学一线的中青年专家，年龄一般不超过55周岁。创新团队核心成员不少于5人。</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3.平台申请者（负责人）应是本学科领域知名的带头人，具有优良的师德师风和良好的科研诚信。具有较强的组织协调能力、管理水平和凝聚力。身体健康，年龄一般不超过55周岁。申报的平台应依托具有较强科研综合实力的大中小学、</w:t>
      </w:r>
      <w:r w:rsidRPr="000E50F2">
        <w:rPr>
          <w:rFonts w:ascii="仿宋" w:eastAsia="仿宋" w:hAnsi="仿宋" w:hint="eastAsia"/>
          <w:sz w:val="32"/>
          <w:szCs w:val="32"/>
        </w:rPr>
        <w:lastRenderedPageBreak/>
        <w:t>中等职业学校，应是具有相对独立性的科研实体，实行人、财、物相对独立的管理机制，且已具备基本的研究基础和条件。</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4.有下列情况之一者不得申报本次项目：</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（1）在研自治区高校科研项目、教育科研规划课题负责人；在研自治区社科基金项目负责人；在研教育部人文社会科学项目负责人；在研国家社科基金项目负责人。</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（2）已获得国家级和自治区级科技创新团队等计划支持的创新团队，不再申报本项目。</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（3）已获批国家级和自治区级相关研究方向的科研平台，不再申报本项目。</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5.各中小学、中等职业学校按照属地管理原则，由各盟市教育主管部门负责项目申报工作。各高校负责本校项目申报工作，不受理个人申报。各盟市、各高校要按照公平公正公开原则，组织项目的征集、遴选、审核工作，择优推荐。</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三、申报流程</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一）本次项目申报（个人、团队）采用网上申报的办法，申请者要认真阅读并严格按照《项目（个人、团队）申报操作手册》，分为“申请者项目申报”和“主管部门审核”两个流程，进行规范操作（见附件1）。平台建设项目不采用网上申报，需提交纸质申请。</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（二）各盟市、各高校负责申报项目的网上初审，审核内容</w:t>
      </w:r>
      <w:r w:rsidRPr="000E50F2">
        <w:rPr>
          <w:rFonts w:ascii="仿宋" w:eastAsia="仿宋" w:hAnsi="仿宋" w:hint="eastAsia"/>
          <w:sz w:val="32"/>
          <w:szCs w:val="32"/>
        </w:rPr>
        <w:lastRenderedPageBreak/>
        <w:t>应包括申请者的基本条件、科研诚信、意识形态及师德学风等内容，审核合格后签署承诺书，由申请者将承诺书上传到系统。</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（三）各盟市、各高校需报送项目申报纸质材料：</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1.个人项目、团队项目申报纸质材料一式一份（从系统“申请材料”中导出），以及《2021年度哲学社会科学研究专项申报一览表》（学校登录系统审核通过后导出加盖公章）。</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2.平台申报纸质材料一式五份（附件2），以及申报书电子版发送到电子邮箱nmg_Lxf@126.com。</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以上材料由各盟市、各高校统一汇总后报送至我厅。</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四）网上申报截止日期为2021年5月31日，各盟市、各高校网上审核截止日期为2021年6月5日，愈期不予受理。纸质材料请于2021年6月10日前报送至我厅科技与信息化处，联系人：刘相飞，苗立伟。联系电话：0471－2856504，2857132。邮寄地址：呼和浩特市新城区丁香路5号，内蒙古自治区教育厅科技与信息化处1018室，邮编010011。</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项目及团队申报系统技术支持电话：0471-2856413、0531-89701233/89701380（详见附件1）。</w:t>
      </w:r>
    </w:p>
    <w:p w:rsidR="000E50F2" w:rsidRPr="000E50F2" w:rsidRDefault="000E50F2" w:rsidP="000E50F2">
      <w:pPr>
        <w:rPr>
          <w:rFonts w:ascii="仿宋" w:eastAsia="仿宋" w:hAnsi="仿宋" w:hint="eastAsia"/>
          <w:sz w:val="32"/>
          <w:szCs w:val="32"/>
        </w:rPr>
      </w:pPr>
      <w:r w:rsidRPr="000E50F2">
        <w:rPr>
          <w:rFonts w:ascii="仿宋" w:eastAsia="仿宋" w:hAnsi="仿宋" w:hint="eastAsia"/>
          <w:sz w:val="32"/>
          <w:szCs w:val="32"/>
        </w:rPr>
        <w:t>附件：1.内蒙古自治区2021年度哲学社会科学研究专项（个人、团队）申报操作手册</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 xml:space="preserve"> 2.2021</w:t>
      </w:r>
      <w:r w:rsidRPr="000E50F2">
        <w:rPr>
          <w:rFonts w:ascii="仿宋" w:eastAsia="仿宋" w:hAnsi="仿宋" w:hint="eastAsia"/>
          <w:sz w:val="32"/>
          <w:szCs w:val="32"/>
        </w:rPr>
        <w:t>年度哲学社会科学研究专项平台建设申请书</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3.</w:t>
      </w:r>
      <w:r w:rsidRPr="000E50F2">
        <w:rPr>
          <w:rFonts w:ascii="仿宋" w:eastAsia="仿宋" w:hAnsi="仿宋" w:hint="eastAsia"/>
          <w:sz w:val="32"/>
          <w:szCs w:val="32"/>
        </w:rPr>
        <w:t>党建研究专项申报指南</w:t>
      </w:r>
    </w:p>
    <w:p w:rsidR="000E50F2" w:rsidRPr="000E50F2" w:rsidRDefault="000E50F2" w:rsidP="000E50F2">
      <w:pPr>
        <w:rPr>
          <w:rFonts w:ascii="仿宋" w:eastAsia="仿宋" w:hAnsi="仿宋"/>
          <w:sz w:val="32"/>
          <w:szCs w:val="32"/>
        </w:rPr>
      </w:pPr>
      <w:r w:rsidRPr="000E50F2">
        <w:rPr>
          <w:rFonts w:ascii="仿宋" w:eastAsia="仿宋"/>
          <w:sz w:val="32"/>
          <w:szCs w:val="32"/>
        </w:rPr>
        <w:lastRenderedPageBreak/>
        <w:t>     </w:t>
      </w:r>
      <w:r w:rsidRPr="000E50F2">
        <w:rPr>
          <w:rFonts w:ascii="仿宋" w:eastAsia="仿宋" w:hAnsi="仿宋"/>
          <w:sz w:val="32"/>
          <w:szCs w:val="32"/>
        </w:rPr>
        <w:t>4.</w:t>
      </w:r>
      <w:r w:rsidRPr="000E50F2">
        <w:rPr>
          <w:rFonts w:ascii="仿宋" w:eastAsia="仿宋" w:hAnsi="仿宋" w:hint="eastAsia"/>
          <w:sz w:val="32"/>
          <w:szCs w:val="32"/>
        </w:rPr>
        <w:t>党史学习教育研究专项申报指南</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5.</w:t>
      </w:r>
      <w:r w:rsidRPr="000E50F2">
        <w:rPr>
          <w:rFonts w:ascii="仿宋" w:eastAsia="仿宋" w:hAnsi="仿宋" w:hint="eastAsia"/>
          <w:sz w:val="32"/>
          <w:szCs w:val="32"/>
        </w:rPr>
        <w:t>铸牢中华民族共同体意识研究专项申报指南</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6.</w:t>
      </w:r>
      <w:r w:rsidRPr="000E50F2">
        <w:rPr>
          <w:rFonts w:ascii="仿宋" w:eastAsia="仿宋" w:hAnsi="仿宋" w:hint="eastAsia"/>
          <w:sz w:val="32"/>
          <w:szCs w:val="32"/>
        </w:rPr>
        <w:t>大中小学思政课一体化研究专项申报指南</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7.</w:t>
      </w:r>
      <w:r w:rsidRPr="000E50F2">
        <w:rPr>
          <w:rFonts w:ascii="仿宋" w:eastAsia="仿宋" w:hAnsi="仿宋" w:hint="eastAsia"/>
          <w:sz w:val="32"/>
          <w:szCs w:val="32"/>
        </w:rPr>
        <w:t>高校课程思政研究专项申报指南</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8.</w:t>
      </w:r>
      <w:r w:rsidRPr="000E50F2">
        <w:rPr>
          <w:rFonts w:ascii="仿宋" w:eastAsia="仿宋" w:hAnsi="仿宋" w:hint="eastAsia"/>
          <w:sz w:val="32"/>
          <w:szCs w:val="32"/>
        </w:rPr>
        <w:t>体育、美育和劳动教育研究专项申报指南</w:t>
      </w:r>
    </w:p>
    <w:p w:rsidR="000E50F2" w:rsidRPr="000E50F2" w:rsidRDefault="000E50F2" w:rsidP="000E50F2">
      <w:pPr>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9.</w:t>
      </w:r>
      <w:r w:rsidRPr="000E50F2">
        <w:rPr>
          <w:rFonts w:ascii="仿宋" w:eastAsia="仿宋" w:hAnsi="仿宋" w:hint="eastAsia"/>
          <w:sz w:val="32"/>
          <w:szCs w:val="32"/>
        </w:rPr>
        <w:t>教育信息化技术研究专项申报指南</w:t>
      </w:r>
    </w:p>
    <w:p w:rsidR="000E50F2" w:rsidRPr="000E50F2" w:rsidRDefault="000E50F2" w:rsidP="000E50F2">
      <w:pPr>
        <w:rPr>
          <w:rFonts w:ascii="仿宋" w:eastAsia="仿宋" w:hAnsi="仿宋"/>
          <w:sz w:val="32"/>
          <w:szCs w:val="32"/>
        </w:rPr>
      </w:pPr>
    </w:p>
    <w:p w:rsidR="000E50F2" w:rsidRPr="000E50F2" w:rsidRDefault="000E50F2" w:rsidP="000E50F2">
      <w:pPr>
        <w:rPr>
          <w:rFonts w:ascii="仿宋" w:eastAsia="仿宋" w:hAnsi="仿宋"/>
          <w:sz w:val="32"/>
          <w:szCs w:val="32"/>
        </w:rPr>
      </w:pPr>
      <w:r w:rsidRPr="000E50F2">
        <w:rPr>
          <w:rFonts w:ascii="仿宋" w:eastAsia="仿宋"/>
          <w:sz w:val="32"/>
          <w:szCs w:val="32"/>
        </w:rPr>
        <w:t> </w:t>
      </w:r>
    </w:p>
    <w:p w:rsidR="000E50F2" w:rsidRPr="000E50F2" w:rsidRDefault="000E50F2" w:rsidP="000E50F2">
      <w:pPr>
        <w:rPr>
          <w:rFonts w:ascii="仿宋" w:eastAsia="仿宋" w:hAnsi="仿宋"/>
          <w:sz w:val="32"/>
          <w:szCs w:val="32"/>
        </w:rPr>
      </w:pPr>
    </w:p>
    <w:p w:rsidR="000E50F2" w:rsidRPr="000E50F2" w:rsidRDefault="000E50F2" w:rsidP="000E50F2">
      <w:pPr>
        <w:ind w:leftChars="1100" w:left="2310"/>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 xml:space="preserve"> </w:t>
      </w:r>
      <w:r w:rsidRPr="000E50F2">
        <w:rPr>
          <w:rFonts w:ascii="仿宋" w:eastAsia="仿宋" w:hAnsi="仿宋" w:hint="eastAsia"/>
          <w:sz w:val="32"/>
          <w:szCs w:val="32"/>
        </w:rPr>
        <w:t>内蒙古自治区教育厅</w:t>
      </w:r>
    </w:p>
    <w:p w:rsidR="000F76A4" w:rsidRPr="000E50F2" w:rsidRDefault="000E50F2" w:rsidP="000E50F2">
      <w:pPr>
        <w:ind w:leftChars="1100" w:left="2310" w:firstLineChars="50" w:firstLine="160"/>
        <w:rPr>
          <w:rFonts w:ascii="仿宋" w:eastAsia="仿宋" w:hAnsi="仿宋"/>
          <w:sz w:val="32"/>
          <w:szCs w:val="32"/>
        </w:rPr>
      </w:pPr>
      <w:r w:rsidRPr="000E50F2">
        <w:rPr>
          <w:rFonts w:ascii="仿宋" w:eastAsia="仿宋"/>
          <w:sz w:val="32"/>
          <w:szCs w:val="32"/>
        </w:rPr>
        <w:t>                 </w:t>
      </w:r>
      <w:r w:rsidRPr="000E50F2">
        <w:rPr>
          <w:rFonts w:ascii="仿宋" w:eastAsia="仿宋" w:hAnsi="仿宋"/>
          <w:sz w:val="32"/>
          <w:szCs w:val="32"/>
        </w:rPr>
        <w:t xml:space="preserve"> 2021</w:t>
      </w:r>
      <w:r w:rsidRPr="000E50F2">
        <w:rPr>
          <w:rFonts w:ascii="仿宋" w:eastAsia="仿宋" w:hAnsi="仿宋" w:hint="eastAsia"/>
          <w:sz w:val="32"/>
          <w:szCs w:val="32"/>
        </w:rPr>
        <w:t>年</w:t>
      </w:r>
      <w:r w:rsidRPr="000E50F2">
        <w:rPr>
          <w:rFonts w:ascii="仿宋" w:eastAsia="仿宋" w:hAnsi="仿宋"/>
          <w:sz w:val="32"/>
          <w:szCs w:val="32"/>
        </w:rPr>
        <w:t>4</w:t>
      </w:r>
      <w:r w:rsidRPr="000E50F2">
        <w:rPr>
          <w:rFonts w:ascii="仿宋" w:eastAsia="仿宋" w:hAnsi="仿宋" w:hint="eastAsia"/>
          <w:sz w:val="32"/>
          <w:szCs w:val="32"/>
        </w:rPr>
        <w:t>月</w:t>
      </w:r>
      <w:r w:rsidRPr="000E50F2">
        <w:rPr>
          <w:rFonts w:ascii="仿宋" w:eastAsia="仿宋" w:hAnsi="仿宋"/>
          <w:sz w:val="32"/>
          <w:szCs w:val="32"/>
        </w:rPr>
        <w:t>26</w:t>
      </w:r>
      <w:r w:rsidRPr="000E50F2">
        <w:rPr>
          <w:rFonts w:ascii="仿宋" w:eastAsia="仿宋" w:hAnsi="仿宋" w:hint="eastAsia"/>
          <w:sz w:val="32"/>
          <w:szCs w:val="32"/>
        </w:rPr>
        <w:t>日</w:t>
      </w:r>
    </w:p>
    <w:sectPr w:rsidR="000F76A4" w:rsidRPr="000E50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6A4" w:rsidRDefault="000F76A4" w:rsidP="000E50F2">
      <w:r>
        <w:separator/>
      </w:r>
    </w:p>
  </w:endnote>
  <w:endnote w:type="continuationSeparator" w:id="1">
    <w:p w:rsidR="000F76A4" w:rsidRDefault="000F76A4" w:rsidP="000E50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6A4" w:rsidRDefault="000F76A4" w:rsidP="000E50F2">
      <w:r>
        <w:separator/>
      </w:r>
    </w:p>
  </w:footnote>
  <w:footnote w:type="continuationSeparator" w:id="1">
    <w:p w:rsidR="000F76A4" w:rsidRDefault="000F76A4" w:rsidP="000E50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50F2"/>
    <w:rsid w:val="000E50F2"/>
    <w:rsid w:val="000F76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50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50F2"/>
    <w:rPr>
      <w:sz w:val="18"/>
      <w:szCs w:val="18"/>
    </w:rPr>
  </w:style>
  <w:style w:type="paragraph" w:styleId="a4">
    <w:name w:val="footer"/>
    <w:basedOn w:val="a"/>
    <w:link w:val="Char0"/>
    <w:uiPriority w:val="99"/>
    <w:semiHidden/>
    <w:unhideWhenUsed/>
    <w:rsid w:val="000E50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50F2"/>
    <w:rPr>
      <w:sz w:val="18"/>
      <w:szCs w:val="18"/>
    </w:rPr>
  </w:style>
</w:styles>
</file>

<file path=word/webSettings.xml><?xml version="1.0" encoding="utf-8"?>
<w:webSettings xmlns:r="http://schemas.openxmlformats.org/officeDocument/2006/relationships" xmlns:w="http://schemas.openxmlformats.org/wordprocessingml/2006/main">
  <w:divs>
    <w:div w:id="2003000864">
      <w:bodyDiv w:val="1"/>
      <w:marLeft w:val="0"/>
      <w:marRight w:val="0"/>
      <w:marTop w:val="0"/>
      <w:marBottom w:val="0"/>
      <w:divBdr>
        <w:top w:val="none" w:sz="0" w:space="0" w:color="auto"/>
        <w:left w:val="none" w:sz="0" w:space="0" w:color="auto"/>
        <w:bottom w:val="none" w:sz="0" w:space="0" w:color="auto"/>
        <w:right w:val="none" w:sz="0" w:space="0" w:color="auto"/>
      </w:divBdr>
      <w:divsChild>
        <w:div w:id="799030402">
          <w:marLeft w:val="0"/>
          <w:marRight w:val="0"/>
          <w:marTop w:val="0"/>
          <w:marBottom w:val="0"/>
          <w:divBdr>
            <w:top w:val="dashed" w:sz="6" w:space="0" w:color="DCDCDC"/>
            <w:left w:val="none" w:sz="0" w:space="0" w:color="auto"/>
            <w:bottom w:val="dashed" w:sz="6" w:space="0" w:color="DCDCDC"/>
            <w:right w:val="none" w:sz="0" w:space="0" w:color="auto"/>
          </w:divBdr>
          <w:divsChild>
            <w:div w:id="1001740922">
              <w:marLeft w:val="0"/>
              <w:marRight w:val="0"/>
              <w:marTop w:val="0"/>
              <w:marBottom w:val="0"/>
              <w:divBdr>
                <w:top w:val="none" w:sz="0" w:space="0" w:color="auto"/>
                <w:left w:val="none" w:sz="0" w:space="0" w:color="auto"/>
                <w:bottom w:val="none" w:sz="0" w:space="0" w:color="auto"/>
                <w:right w:val="none" w:sz="0" w:space="0" w:color="auto"/>
              </w:divBdr>
              <w:divsChild>
                <w:div w:id="774011800">
                  <w:marLeft w:val="165"/>
                  <w:marRight w:val="0"/>
                  <w:marTop w:val="90"/>
                  <w:marBottom w:val="0"/>
                  <w:divBdr>
                    <w:top w:val="none" w:sz="0" w:space="0" w:color="auto"/>
                    <w:left w:val="none" w:sz="0" w:space="0" w:color="auto"/>
                    <w:bottom w:val="none" w:sz="0" w:space="0" w:color="auto"/>
                    <w:right w:val="none" w:sz="0" w:space="0" w:color="auto"/>
                  </w:divBdr>
                </w:div>
                <w:div w:id="5910132">
                  <w:marLeft w:val="0"/>
                  <w:marRight w:val="0"/>
                  <w:marTop w:val="0"/>
                  <w:marBottom w:val="0"/>
                  <w:divBdr>
                    <w:top w:val="none" w:sz="0" w:space="0" w:color="auto"/>
                    <w:left w:val="none" w:sz="0" w:space="0" w:color="auto"/>
                    <w:bottom w:val="none" w:sz="0" w:space="0" w:color="auto"/>
                    <w:right w:val="none" w:sz="0" w:space="0" w:color="auto"/>
                  </w:divBdr>
                  <w:divsChild>
                    <w:div w:id="53982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450032">
          <w:marLeft w:val="0"/>
          <w:marRight w:val="0"/>
          <w:marTop w:val="0"/>
          <w:marBottom w:val="0"/>
          <w:divBdr>
            <w:top w:val="none" w:sz="0" w:space="0" w:color="auto"/>
            <w:left w:val="none" w:sz="0" w:space="0" w:color="auto"/>
            <w:bottom w:val="none" w:sz="0" w:space="0" w:color="auto"/>
            <w:right w:val="none" w:sz="0" w:space="0" w:color="auto"/>
          </w:divBdr>
          <w:divsChild>
            <w:div w:id="158992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404</Words>
  <Characters>2308</Characters>
  <Application>Microsoft Office Word</Application>
  <DocSecurity>0</DocSecurity>
  <Lines>19</Lines>
  <Paragraphs>5</Paragraphs>
  <ScaleCrop>false</ScaleCrop>
  <Company>Microsoft</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sipangzi</dc:creator>
  <cp:keywords/>
  <dc:description/>
  <cp:lastModifiedBy>sipangzi</cp:lastModifiedBy>
  <cp:revision>2</cp:revision>
  <dcterms:created xsi:type="dcterms:W3CDTF">2021-04-28T00:42:00Z</dcterms:created>
  <dcterms:modified xsi:type="dcterms:W3CDTF">2021-04-28T00:46:00Z</dcterms:modified>
</cp:coreProperties>
</file>