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rPr>
      </w:pPr>
      <w:r>
        <w:rPr>
          <w:rFonts w:hint="eastAsia" w:ascii="黑体" w:hAnsi="黑体" w:eastAsia="黑体" w:cs="黑体"/>
          <w:sz w:val="32"/>
          <w:szCs w:val="32"/>
        </w:rPr>
        <w:t>包头职业技术学院2020年专升本（内</w:t>
      </w:r>
      <w:r>
        <w:rPr>
          <w:rFonts w:hint="eastAsia" w:ascii="黑体" w:hAnsi="黑体" w:eastAsia="黑体" w:cs="黑体"/>
          <w:sz w:val="32"/>
          <w:szCs w:val="32"/>
          <w:lang w:val="en-US" w:eastAsia="zh-CN"/>
        </w:rPr>
        <w:t>农</w:t>
      </w:r>
      <w:r>
        <w:rPr>
          <w:rFonts w:hint="eastAsia" w:ascii="黑体" w:hAnsi="黑体" w:eastAsia="黑体" w:cs="黑体"/>
          <w:sz w:val="32"/>
          <w:szCs w:val="32"/>
        </w:rPr>
        <w:t>大）拟录取名单公示</w:t>
      </w:r>
    </w:p>
    <w:p>
      <w:pPr>
        <w:keepNext w:val="0"/>
        <w:keepLines w:val="0"/>
        <w:widowControl/>
        <w:suppressLineNumbers w:val="0"/>
        <w:jc w:val="left"/>
        <w:rPr>
          <w:rFonts w:hint="eastAsia"/>
          <w:sz w:val="24"/>
          <w:szCs w:val="24"/>
        </w:rPr>
      </w:pPr>
    </w:p>
    <w:p>
      <w:pPr>
        <w:keepNext w:val="0"/>
        <w:keepLines w:val="0"/>
        <w:widowControl/>
        <w:suppressLineNumbers w:val="0"/>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按照《内蒙古农业大学 2020 年专科升本科选拔工作实施方案》（内农大校发〔2020〕17 号文件）要求，根据我院学生报名情况，以入学以来各科成绩算术平均分排名为依据，选拨17名学生（其中包括3名建档立卡贫困家庭学生）推荐升入内蒙古农业大学。</w:t>
      </w:r>
      <w:r>
        <w:rPr>
          <w:rFonts w:hint="eastAsia" w:asciiTheme="minorEastAsia" w:hAnsiTheme="minorEastAsia" w:cstheme="minorEastAsia"/>
          <w:sz w:val="32"/>
          <w:szCs w:val="32"/>
          <w:lang w:val="en-US" w:eastAsia="zh-CN"/>
        </w:rPr>
        <w:t>再</w:t>
      </w:r>
      <w:bookmarkStart w:id="0" w:name="_GoBack"/>
      <w:bookmarkEnd w:id="0"/>
      <w:r>
        <w:rPr>
          <w:rFonts w:hint="eastAsia" w:asciiTheme="minorEastAsia" w:hAnsiTheme="minorEastAsia" w:eastAsiaTheme="minorEastAsia" w:cstheme="minorEastAsia"/>
          <w:sz w:val="32"/>
          <w:szCs w:val="32"/>
          <w:lang w:val="en-US" w:eastAsia="zh-CN"/>
        </w:rPr>
        <w:t>经过内蒙古农业大学和内蒙古自治区教育厅审核通过后升学进入内蒙古农业大学进行本科学习，</w:t>
      </w:r>
      <w:r>
        <w:rPr>
          <w:rFonts w:hint="eastAsia" w:asciiTheme="minorEastAsia" w:hAnsiTheme="minorEastAsia" w:eastAsiaTheme="minorEastAsia" w:cstheme="minorEastAsia"/>
          <w:sz w:val="32"/>
          <w:szCs w:val="32"/>
        </w:rPr>
        <w:t>现将学生名单进行公示，公示时间为</w:t>
      </w: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月</w:t>
      </w:r>
      <w:r>
        <w:rPr>
          <w:rFonts w:hint="eastAsia" w:asciiTheme="minorEastAsia" w:hAnsiTheme="minorEastAsia" w:eastAsiaTheme="minorEastAsia" w:cstheme="minorEastAsia"/>
          <w:sz w:val="32"/>
          <w:szCs w:val="32"/>
          <w:lang w:val="en-US" w:eastAsia="zh-CN"/>
        </w:rPr>
        <w:t>11</w:t>
      </w:r>
      <w:r>
        <w:rPr>
          <w:rFonts w:hint="eastAsia" w:asciiTheme="minorEastAsia" w:hAnsiTheme="minorEastAsia" w:eastAsiaTheme="minorEastAsia" w:cstheme="minorEastAsia"/>
          <w:sz w:val="32"/>
          <w:szCs w:val="32"/>
        </w:rPr>
        <w:t>日至</w:t>
      </w:r>
      <w:r>
        <w:rPr>
          <w:rFonts w:hint="eastAsia" w:asciiTheme="minorEastAsia" w:hAnsiTheme="minorEastAsia" w:eastAsiaTheme="minorEastAsia" w:cstheme="minorEastAsia"/>
          <w:sz w:val="32"/>
          <w:szCs w:val="32"/>
          <w:lang w:val="en-US" w:eastAsia="zh-CN"/>
        </w:rPr>
        <w:t>15</w:t>
      </w:r>
      <w:r>
        <w:rPr>
          <w:rFonts w:hint="eastAsia" w:asciiTheme="minorEastAsia" w:hAnsiTheme="minorEastAsia" w:eastAsiaTheme="minorEastAsia" w:cstheme="minorEastAsia"/>
          <w:sz w:val="32"/>
          <w:szCs w:val="32"/>
        </w:rPr>
        <w:t>日。</w:t>
      </w:r>
    </w:p>
    <w:p>
      <w:pPr>
        <w:ind w:firstLine="64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举报电话：3320032（纪检监察审计处）、3320039（教务处）</w:t>
      </w:r>
    </w:p>
    <w:p>
      <w:pPr>
        <w:rPr>
          <w:rFonts w:hint="eastAsia"/>
          <w:sz w:val="32"/>
          <w:szCs w:val="32"/>
          <w:lang w:val="en-US" w:eastAsia="zh-CN"/>
        </w:rPr>
      </w:pPr>
      <w:r>
        <w:rPr>
          <w:rFonts w:hint="eastAsia"/>
          <w:sz w:val="32"/>
          <w:szCs w:val="32"/>
        </w:rPr>
        <w:t xml:space="preserve">    </w:t>
      </w:r>
      <w:r>
        <w:rPr>
          <w:rFonts w:hint="eastAsia"/>
          <w:sz w:val="32"/>
          <w:szCs w:val="32"/>
          <w:lang w:val="en-US" w:eastAsia="zh-CN"/>
        </w:rPr>
        <w:t>拟录取名单：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2209"/>
        <w:gridCol w:w="1650"/>
        <w:gridCol w:w="2086"/>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序号</w:t>
            </w:r>
          </w:p>
        </w:tc>
        <w:tc>
          <w:tcPr>
            <w:tcW w:w="220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专科阶段专业</w:t>
            </w:r>
          </w:p>
        </w:tc>
        <w:tc>
          <w:tcPr>
            <w:tcW w:w="1650"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姓名</w:t>
            </w:r>
          </w:p>
        </w:tc>
        <w:tc>
          <w:tcPr>
            <w:tcW w:w="2086"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成绩算术平均分</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班级排名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w:t>
            </w:r>
          </w:p>
        </w:tc>
        <w:tc>
          <w:tcPr>
            <w:tcW w:w="2209" w:type="dxa"/>
            <w:vMerge w:val="restart"/>
            <w:vAlign w:val="center"/>
          </w:tcPr>
          <w:p>
            <w:pPr>
              <w:jc w:val="center"/>
              <w:rPr>
                <w:rFonts w:hint="default"/>
                <w:sz w:val="24"/>
                <w:szCs w:val="24"/>
                <w:vertAlign w:val="baseline"/>
                <w:lang w:val="en-US" w:eastAsia="zh-CN"/>
              </w:rPr>
            </w:pPr>
            <w:r>
              <w:rPr>
                <w:rFonts w:hint="eastAsia"/>
                <w:sz w:val="24"/>
                <w:szCs w:val="24"/>
                <w:vertAlign w:val="baseline"/>
                <w:lang w:val="en-US" w:eastAsia="zh-CN"/>
              </w:rPr>
              <w:t>工业设计</w:t>
            </w:r>
          </w:p>
        </w:tc>
        <w:tc>
          <w:tcPr>
            <w:tcW w:w="1650" w:type="dxa"/>
            <w:vAlign w:val="center"/>
          </w:tcPr>
          <w:p>
            <w:pPr>
              <w:jc w:val="center"/>
              <w:rPr>
                <w:rFonts w:hint="default"/>
                <w:sz w:val="24"/>
                <w:szCs w:val="24"/>
                <w:vertAlign w:val="baseline"/>
                <w:lang w:val="en-US" w:eastAsia="zh-CN"/>
              </w:rPr>
            </w:pPr>
            <w:r>
              <w:rPr>
                <w:rFonts w:ascii="仿宋_GB2312" w:eastAsia="仿宋_GB2312"/>
                <w:sz w:val="24"/>
                <w:szCs w:val="24"/>
              </w:rPr>
              <w:t>李佩瑶</w:t>
            </w:r>
          </w:p>
        </w:tc>
        <w:tc>
          <w:tcPr>
            <w:tcW w:w="2086" w:type="dxa"/>
            <w:vAlign w:val="center"/>
          </w:tcPr>
          <w:p>
            <w:pPr>
              <w:jc w:val="center"/>
              <w:rPr>
                <w:rFonts w:hint="default"/>
                <w:sz w:val="24"/>
                <w:szCs w:val="24"/>
                <w:vertAlign w:val="baseline"/>
                <w:lang w:val="en-US" w:eastAsia="zh-CN"/>
              </w:rPr>
            </w:pPr>
            <w:r>
              <w:rPr>
                <w:rFonts w:ascii="仿宋_GB2312" w:eastAsia="仿宋_GB2312"/>
                <w:sz w:val="24"/>
                <w:szCs w:val="24"/>
              </w:rPr>
              <w:t>8</w:t>
            </w:r>
            <w:r>
              <w:rPr>
                <w:rFonts w:hint="eastAsia" w:ascii="仿宋_GB2312" w:eastAsia="仿宋_GB2312"/>
                <w:sz w:val="24"/>
                <w:szCs w:val="24"/>
                <w:lang w:val="en-US" w:eastAsia="zh-CN"/>
              </w:rPr>
              <w:t>5</w:t>
            </w:r>
            <w:r>
              <w:rPr>
                <w:rFonts w:ascii="仿宋_GB2312" w:eastAsia="仿宋_GB2312"/>
                <w:sz w:val="24"/>
                <w:szCs w:val="24"/>
              </w:rPr>
              <w:t>.6</w:t>
            </w:r>
            <w:r>
              <w:rPr>
                <w:rFonts w:hint="eastAsia" w:ascii="仿宋_GB2312" w:eastAsia="仿宋_GB2312"/>
                <w:sz w:val="24"/>
                <w:szCs w:val="24"/>
                <w:lang w:val="en-US" w:eastAsia="zh-CN"/>
              </w:rPr>
              <w:t>0</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w:t>
            </w:r>
          </w:p>
        </w:tc>
        <w:tc>
          <w:tcPr>
            <w:tcW w:w="2209" w:type="dxa"/>
            <w:vMerge w:val="continue"/>
            <w:vAlign w:val="center"/>
          </w:tcPr>
          <w:p>
            <w:pPr>
              <w:jc w:val="center"/>
              <w:rPr>
                <w:rFonts w:hint="default"/>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rPr>
              <w:t>曹晓庆</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rPr>
              <w:t>8</w:t>
            </w:r>
            <w:r>
              <w:rPr>
                <w:rFonts w:ascii="仿宋_GB2312" w:eastAsia="仿宋_GB2312"/>
                <w:sz w:val="24"/>
                <w:szCs w:val="24"/>
              </w:rPr>
              <w:t>4.</w:t>
            </w:r>
            <w:r>
              <w:rPr>
                <w:rFonts w:hint="eastAsia" w:ascii="仿宋_GB2312" w:eastAsia="仿宋_GB2312"/>
                <w:sz w:val="24"/>
                <w:szCs w:val="24"/>
                <w:lang w:val="en-US" w:eastAsia="zh-CN"/>
              </w:rPr>
              <w:t>76</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3</w:t>
            </w:r>
          </w:p>
        </w:tc>
        <w:tc>
          <w:tcPr>
            <w:tcW w:w="2209" w:type="dxa"/>
            <w:vMerge w:val="continue"/>
            <w:vAlign w:val="center"/>
          </w:tcPr>
          <w:p>
            <w:pPr>
              <w:jc w:val="center"/>
              <w:rPr>
                <w:rFonts w:hint="default"/>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rPr>
              <w:t>刘佳琦</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rPr>
              <w:t>8</w:t>
            </w:r>
            <w:r>
              <w:rPr>
                <w:rFonts w:hint="eastAsia" w:ascii="仿宋_GB2312" w:eastAsia="仿宋_GB2312"/>
                <w:sz w:val="24"/>
                <w:szCs w:val="24"/>
                <w:lang w:val="en-US" w:eastAsia="zh-CN"/>
              </w:rPr>
              <w:t>4</w:t>
            </w:r>
            <w:r>
              <w:rPr>
                <w:rFonts w:ascii="仿宋_GB2312" w:eastAsia="仿宋_GB2312"/>
                <w:sz w:val="24"/>
                <w:szCs w:val="24"/>
              </w:rPr>
              <w:t>.</w:t>
            </w:r>
            <w:r>
              <w:rPr>
                <w:rFonts w:hint="eastAsia" w:ascii="仿宋_GB2312" w:eastAsia="仿宋_GB2312"/>
                <w:sz w:val="24"/>
                <w:szCs w:val="24"/>
                <w:lang w:val="en-US" w:eastAsia="zh-CN"/>
              </w:rPr>
              <w:t>02</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4</w:t>
            </w:r>
          </w:p>
        </w:tc>
        <w:tc>
          <w:tcPr>
            <w:tcW w:w="2209" w:type="dxa"/>
            <w:vMerge w:val="continue"/>
            <w:vAlign w:val="center"/>
          </w:tcPr>
          <w:p>
            <w:pPr>
              <w:jc w:val="center"/>
              <w:rPr>
                <w:rFonts w:hint="default"/>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rPr>
              <w:t>梁佳富</w:t>
            </w:r>
          </w:p>
        </w:tc>
        <w:tc>
          <w:tcPr>
            <w:tcW w:w="2086" w:type="dxa"/>
            <w:vAlign w:val="center"/>
          </w:tcPr>
          <w:p>
            <w:pPr>
              <w:jc w:val="center"/>
              <w:rPr>
                <w:rFonts w:hint="default"/>
                <w:sz w:val="24"/>
                <w:szCs w:val="24"/>
                <w:vertAlign w:val="baseline"/>
                <w:lang w:val="en-US" w:eastAsia="zh-CN"/>
              </w:rPr>
            </w:pPr>
            <w:r>
              <w:rPr>
                <w:rFonts w:ascii="仿宋_GB2312" w:eastAsia="仿宋_GB2312"/>
                <w:sz w:val="24"/>
                <w:szCs w:val="24"/>
              </w:rPr>
              <w:t>8</w:t>
            </w:r>
            <w:r>
              <w:rPr>
                <w:rFonts w:hint="eastAsia" w:ascii="仿宋_GB2312" w:eastAsia="仿宋_GB2312"/>
                <w:sz w:val="24"/>
                <w:szCs w:val="24"/>
                <w:lang w:val="en-US" w:eastAsia="zh-CN"/>
              </w:rPr>
              <w:t>3</w:t>
            </w:r>
            <w:r>
              <w:rPr>
                <w:rFonts w:ascii="仿宋_GB2312" w:eastAsia="仿宋_GB2312"/>
                <w:sz w:val="24"/>
                <w:szCs w:val="24"/>
              </w:rPr>
              <w:t>.</w:t>
            </w:r>
            <w:r>
              <w:rPr>
                <w:rFonts w:hint="eastAsia" w:ascii="仿宋_GB2312" w:eastAsia="仿宋_GB2312"/>
                <w:sz w:val="24"/>
                <w:szCs w:val="24"/>
                <w:lang w:val="en-US" w:eastAsia="zh-CN"/>
              </w:rPr>
              <w:t>15</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5</w:t>
            </w:r>
          </w:p>
        </w:tc>
        <w:tc>
          <w:tcPr>
            <w:tcW w:w="2209" w:type="dxa"/>
            <w:vMerge w:val="continue"/>
            <w:vAlign w:val="center"/>
          </w:tcPr>
          <w:p>
            <w:pPr>
              <w:jc w:val="center"/>
              <w:rPr>
                <w:rFonts w:hint="default"/>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祁乐</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82.75</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6</w:t>
            </w:r>
          </w:p>
        </w:tc>
        <w:tc>
          <w:tcPr>
            <w:tcW w:w="220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广告设计与制作</w:t>
            </w: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lang w:eastAsia="zh-CN"/>
              </w:rPr>
              <w:t>高锦鑫</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83.72</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7</w:t>
            </w:r>
          </w:p>
        </w:tc>
        <w:tc>
          <w:tcPr>
            <w:tcW w:w="2209" w:type="dxa"/>
            <w:vMerge w:val="restart"/>
            <w:vAlign w:val="center"/>
          </w:tcPr>
          <w:p>
            <w:pPr>
              <w:jc w:val="center"/>
              <w:rPr>
                <w:rFonts w:hint="default"/>
                <w:sz w:val="24"/>
                <w:szCs w:val="24"/>
                <w:vertAlign w:val="baseline"/>
                <w:lang w:val="en-US" w:eastAsia="zh-CN"/>
              </w:rPr>
            </w:pPr>
            <w:r>
              <w:rPr>
                <w:rFonts w:hint="eastAsia"/>
                <w:sz w:val="24"/>
                <w:szCs w:val="24"/>
                <w:vertAlign w:val="baseline"/>
                <w:lang w:val="en-US" w:eastAsia="zh-CN"/>
              </w:rPr>
              <w:t>建筑室内设计</w:t>
            </w: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rPr>
              <w:t>孙雪飞</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84.30</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8</w:t>
            </w:r>
          </w:p>
        </w:tc>
        <w:tc>
          <w:tcPr>
            <w:tcW w:w="2209" w:type="dxa"/>
            <w:vMerge w:val="continue"/>
            <w:vAlign w:val="center"/>
          </w:tcPr>
          <w:p>
            <w:pPr>
              <w:jc w:val="center"/>
              <w:rPr>
                <w:rFonts w:hint="eastAsia"/>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rPr>
              <w:t>张琦</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83.81</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9</w:t>
            </w:r>
          </w:p>
        </w:tc>
        <w:tc>
          <w:tcPr>
            <w:tcW w:w="2209" w:type="dxa"/>
            <w:vMerge w:val="continue"/>
            <w:vAlign w:val="center"/>
          </w:tcPr>
          <w:p>
            <w:pPr>
              <w:jc w:val="center"/>
              <w:rPr>
                <w:rFonts w:hint="eastAsia"/>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rPr>
              <w:t>陈春柳</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83.59</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10</w:t>
            </w:r>
          </w:p>
        </w:tc>
        <w:tc>
          <w:tcPr>
            <w:tcW w:w="2209" w:type="dxa"/>
            <w:vMerge w:val="continue"/>
            <w:vAlign w:val="center"/>
          </w:tcPr>
          <w:p>
            <w:pPr>
              <w:jc w:val="center"/>
              <w:rPr>
                <w:rFonts w:hint="eastAsia"/>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张彩霞</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83.43</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11</w:t>
            </w:r>
          </w:p>
        </w:tc>
        <w:tc>
          <w:tcPr>
            <w:tcW w:w="2209" w:type="dxa"/>
            <w:vMerge w:val="continue"/>
            <w:vAlign w:val="center"/>
          </w:tcPr>
          <w:p>
            <w:pPr>
              <w:jc w:val="center"/>
              <w:rPr>
                <w:rFonts w:hint="eastAsia"/>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仿宋_GB2312"/>
                <w:sz w:val="24"/>
                <w:szCs w:val="24"/>
              </w:rPr>
              <w:t>任敏</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83.23</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12</w:t>
            </w:r>
          </w:p>
        </w:tc>
        <w:tc>
          <w:tcPr>
            <w:tcW w:w="2209" w:type="dxa"/>
            <w:vMerge w:val="continue"/>
            <w:vAlign w:val="center"/>
          </w:tcPr>
          <w:p>
            <w:pPr>
              <w:jc w:val="center"/>
              <w:rPr>
                <w:rFonts w:hint="eastAsia"/>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仿宋" w:hAnsi="仿宋" w:eastAsia="仿宋"/>
                <w:sz w:val="24"/>
                <w:szCs w:val="24"/>
              </w:rPr>
              <w:t>周红梅</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82.53</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13</w:t>
            </w:r>
          </w:p>
        </w:tc>
        <w:tc>
          <w:tcPr>
            <w:tcW w:w="220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建筑装饰工程技术</w:t>
            </w:r>
          </w:p>
        </w:tc>
        <w:tc>
          <w:tcPr>
            <w:tcW w:w="1650" w:type="dxa"/>
            <w:vAlign w:val="center"/>
          </w:tcPr>
          <w:p>
            <w:pPr>
              <w:jc w:val="center"/>
              <w:rPr>
                <w:rFonts w:hint="default"/>
                <w:sz w:val="24"/>
                <w:szCs w:val="24"/>
                <w:vertAlign w:val="baseline"/>
                <w:lang w:val="en-US" w:eastAsia="zh-CN"/>
              </w:rPr>
            </w:pPr>
            <w:r>
              <w:rPr>
                <w:rFonts w:hint="eastAsia" w:ascii="仿宋_GB2312"/>
                <w:sz w:val="24"/>
                <w:szCs w:val="24"/>
              </w:rPr>
              <w:t>董占阳</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rPr>
              <w:t>8</w:t>
            </w:r>
            <w:r>
              <w:rPr>
                <w:rFonts w:hint="eastAsia" w:ascii="仿宋_GB2312" w:eastAsia="仿宋_GB2312"/>
                <w:sz w:val="24"/>
                <w:szCs w:val="24"/>
                <w:lang w:val="en-US" w:eastAsia="zh-CN"/>
              </w:rPr>
              <w:t>3</w:t>
            </w:r>
            <w:r>
              <w:rPr>
                <w:rFonts w:hint="eastAsia" w:ascii="仿宋_GB2312" w:eastAsia="仿宋_GB2312"/>
                <w:sz w:val="24"/>
                <w:szCs w:val="24"/>
              </w:rPr>
              <w:t>.</w:t>
            </w:r>
            <w:r>
              <w:rPr>
                <w:rFonts w:hint="eastAsia" w:ascii="仿宋_GB2312" w:eastAsia="仿宋_GB2312"/>
                <w:sz w:val="24"/>
                <w:szCs w:val="24"/>
                <w:lang w:val="en-US" w:eastAsia="zh-CN"/>
              </w:rPr>
              <w:t>24</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14</w:t>
            </w:r>
          </w:p>
        </w:tc>
        <w:tc>
          <w:tcPr>
            <w:tcW w:w="2209" w:type="dxa"/>
            <w:vMerge w:val="restart"/>
            <w:vAlign w:val="center"/>
          </w:tcPr>
          <w:p>
            <w:pPr>
              <w:jc w:val="center"/>
              <w:rPr>
                <w:rFonts w:hint="default"/>
                <w:sz w:val="24"/>
                <w:szCs w:val="24"/>
                <w:vertAlign w:val="baseline"/>
                <w:lang w:val="en-US" w:eastAsia="zh-CN"/>
              </w:rPr>
            </w:pPr>
            <w:r>
              <w:rPr>
                <w:rFonts w:hint="eastAsia"/>
                <w:sz w:val="24"/>
                <w:szCs w:val="24"/>
                <w:vertAlign w:val="baseline"/>
                <w:lang w:val="en-US" w:eastAsia="zh-CN"/>
              </w:rPr>
              <w:t>旅游管理</w:t>
            </w: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rPr>
              <w:t>斯琴佳乐</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86.00</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15</w:t>
            </w:r>
          </w:p>
        </w:tc>
        <w:tc>
          <w:tcPr>
            <w:tcW w:w="2209" w:type="dxa"/>
            <w:vMerge w:val="continue"/>
            <w:vAlign w:val="center"/>
          </w:tcPr>
          <w:p>
            <w:pPr>
              <w:jc w:val="center"/>
              <w:rPr>
                <w:rFonts w:hint="eastAsia"/>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仿宋_GB2312" w:eastAsia="仿宋_GB2312"/>
                <w:sz w:val="24"/>
                <w:szCs w:val="24"/>
              </w:rPr>
              <w:t>翟莉莉</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85.10</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16</w:t>
            </w:r>
          </w:p>
        </w:tc>
        <w:tc>
          <w:tcPr>
            <w:tcW w:w="2209" w:type="dxa"/>
            <w:vMerge w:val="continue"/>
            <w:vAlign w:val="center"/>
          </w:tcPr>
          <w:p>
            <w:pPr>
              <w:jc w:val="center"/>
              <w:rPr>
                <w:rFonts w:hint="eastAsia"/>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eastAsia" w:ascii="宋体" w:hAnsi="宋体"/>
                <w:sz w:val="24"/>
                <w:szCs w:val="24"/>
                <w:lang w:eastAsia="zh-CN"/>
              </w:rPr>
              <w:t>段景雪</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83.58</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17</w:t>
            </w:r>
          </w:p>
        </w:tc>
        <w:tc>
          <w:tcPr>
            <w:tcW w:w="2209" w:type="dxa"/>
            <w:vMerge w:val="continue"/>
            <w:vAlign w:val="center"/>
          </w:tcPr>
          <w:p>
            <w:pPr>
              <w:jc w:val="center"/>
              <w:rPr>
                <w:rFonts w:hint="eastAsia"/>
                <w:sz w:val="24"/>
                <w:szCs w:val="24"/>
                <w:vertAlign w:val="baseline"/>
                <w:lang w:val="en-US" w:eastAsia="zh-CN"/>
              </w:rPr>
            </w:pPr>
          </w:p>
        </w:tc>
        <w:tc>
          <w:tcPr>
            <w:tcW w:w="1650" w:type="dxa"/>
            <w:vAlign w:val="center"/>
          </w:tcPr>
          <w:p>
            <w:pPr>
              <w:jc w:val="center"/>
              <w:rPr>
                <w:rFonts w:hint="default"/>
                <w:sz w:val="24"/>
                <w:szCs w:val="24"/>
                <w:vertAlign w:val="baseline"/>
                <w:lang w:val="en-US" w:eastAsia="zh-CN"/>
              </w:rPr>
            </w:pPr>
            <w:r>
              <w:rPr>
                <w:rFonts w:hint="default" w:ascii="宋体" w:hAnsi="宋体"/>
                <w:sz w:val="24"/>
                <w:szCs w:val="24"/>
                <w:lang w:val="en-US" w:eastAsia="zh-CN"/>
              </w:rPr>
              <w:t>乔丹</w:t>
            </w:r>
          </w:p>
        </w:tc>
        <w:tc>
          <w:tcPr>
            <w:tcW w:w="2086" w:type="dxa"/>
            <w:vAlign w:val="center"/>
          </w:tcPr>
          <w:p>
            <w:pPr>
              <w:jc w:val="center"/>
              <w:rPr>
                <w:rFonts w:hint="default"/>
                <w:sz w:val="24"/>
                <w:szCs w:val="24"/>
                <w:vertAlign w:val="baseline"/>
                <w:lang w:val="en-US" w:eastAsia="zh-CN"/>
              </w:rPr>
            </w:pPr>
            <w:r>
              <w:rPr>
                <w:rFonts w:hint="eastAsia" w:ascii="仿宋_GB2312" w:eastAsia="仿宋_GB2312"/>
                <w:sz w:val="24"/>
                <w:szCs w:val="24"/>
                <w:lang w:val="en-US" w:eastAsia="zh-CN"/>
              </w:rPr>
              <w:t>83.40</w:t>
            </w:r>
          </w:p>
        </w:tc>
        <w:tc>
          <w:tcPr>
            <w:tcW w:w="1628"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5</w:t>
            </w:r>
          </w:p>
        </w:tc>
      </w:tr>
    </w:tbl>
    <w:p>
      <w:pPr>
        <w:keepNext w:val="0"/>
        <w:keepLines w:val="0"/>
        <w:pageBreakBefore w:val="0"/>
        <w:widowControl w:val="0"/>
        <w:kinsoku/>
        <w:wordWrap/>
        <w:overflowPunct/>
        <w:topLinePunct w:val="0"/>
        <w:autoSpaceDE/>
        <w:autoSpaceDN/>
        <w:bidi w:val="0"/>
        <w:adjustRightInd/>
        <w:snapToGrid/>
        <w:spacing w:line="240" w:lineRule="exact"/>
        <w:ind w:firstLine="320" w:firstLineChars="100"/>
        <w:textAlignment w:val="auto"/>
        <w:rPr>
          <w:rFonts w:hint="eastAsia"/>
          <w:sz w:val="32"/>
          <w:szCs w:val="32"/>
        </w:rPr>
      </w:pPr>
      <w:r>
        <w:rPr>
          <w:rFonts w:hint="eastAsia"/>
          <w:sz w:val="32"/>
          <w:szCs w:val="32"/>
        </w:rPr>
        <w:t xml:space="preserve">                           </w:t>
      </w:r>
    </w:p>
    <w:p>
      <w:pPr>
        <w:ind w:firstLine="4480" w:firstLineChars="1400"/>
        <w:rPr>
          <w:rFonts w:hint="eastAsia"/>
          <w:sz w:val="32"/>
          <w:szCs w:val="32"/>
        </w:rPr>
      </w:pPr>
      <w:r>
        <w:rPr>
          <w:rFonts w:hint="eastAsia"/>
          <w:sz w:val="32"/>
          <w:szCs w:val="32"/>
        </w:rPr>
        <w:t>包头职业技术学院教务处</w:t>
      </w:r>
    </w:p>
    <w:p>
      <w:pPr>
        <w:rPr>
          <w:rFonts w:hint="eastAsia"/>
          <w:sz w:val="32"/>
          <w:szCs w:val="32"/>
        </w:rPr>
      </w:pPr>
      <w:r>
        <w:rPr>
          <w:rFonts w:hint="eastAsia"/>
          <w:sz w:val="32"/>
          <w:szCs w:val="32"/>
        </w:rPr>
        <w:t xml:space="preserve">                                2020年</w:t>
      </w:r>
      <w:r>
        <w:rPr>
          <w:rFonts w:hint="eastAsia"/>
          <w:sz w:val="32"/>
          <w:szCs w:val="32"/>
          <w:lang w:val="en-US" w:eastAsia="zh-CN"/>
        </w:rPr>
        <w:t>6</w:t>
      </w:r>
      <w:r>
        <w:rPr>
          <w:rFonts w:hint="eastAsia"/>
          <w:sz w:val="32"/>
          <w:szCs w:val="32"/>
        </w:rPr>
        <w:t>月1</w:t>
      </w:r>
      <w:r>
        <w:rPr>
          <w:rFonts w:hint="eastAsia"/>
          <w:sz w:val="32"/>
          <w:szCs w:val="32"/>
          <w:lang w:val="en-US" w:eastAsia="zh-CN"/>
        </w:rPr>
        <w:t>1</w:t>
      </w:r>
      <w:r>
        <w:rPr>
          <w:rFonts w:hint="eastAsia"/>
          <w:sz w:val="32"/>
          <w:szCs w:val="32"/>
        </w:rPr>
        <w:t>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B5A8D"/>
    <w:rsid w:val="1A0D4958"/>
    <w:rsid w:val="568045B1"/>
    <w:rsid w:val="584C4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2020-06-11T06:43:12Z</dcterms:created>
  <dc:creator>ii</dc:creator>
  <cp:lastModifiedBy>飘</cp:lastModifiedBy>
  <dcterms:modified xsi:type="dcterms:W3CDTF">2020-06-11T07:36:26Z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